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5E" w:rsidRPr="0037069C" w:rsidRDefault="0032475E" w:rsidP="00D5076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u w:val="single"/>
          <w:lang w:val="ro-RO"/>
        </w:rPr>
      </w:pPr>
    </w:p>
    <w:tbl>
      <w:tblPr>
        <w:tblW w:w="10085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138"/>
        <w:gridCol w:w="146"/>
        <w:gridCol w:w="1420"/>
        <w:gridCol w:w="161"/>
        <w:gridCol w:w="1398"/>
        <w:gridCol w:w="20"/>
        <w:gridCol w:w="142"/>
        <w:gridCol w:w="960"/>
        <w:gridCol w:w="437"/>
        <w:gridCol w:w="20"/>
        <w:gridCol w:w="1396"/>
        <w:gridCol w:w="20"/>
        <w:gridCol w:w="113"/>
        <w:gridCol w:w="30"/>
        <w:gridCol w:w="1540"/>
        <w:gridCol w:w="20"/>
      </w:tblGrid>
      <w:tr w:rsidR="0032475E" w:rsidRPr="00D5076F" w:rsidTr="00D5076F">
        <w:trPr>
          <w:gridAfter w:val="1"/>
          <w:wAfter w:w="20" w:type="dxa"/>
          <w:cantSplit/>
          <w:trHeight w:hRule="exact" w:val="425"/>
        </w:trPr>
        <w:tc>
          <w:tcPr>
            <w:tcW w:w="2124" w:type="dxa"/>
            <w:vMerge w:val="restart"/>
          </w:tcPr>
          <w:p w:rsidR="0032475E" w:rsidRPr="00D5076F" w:rsidRDefault="0032475E" w:rsidP="00D5076F">
            <w:pPr>
              <w:pStyle w:val="CVHeading3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Normal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1704" w:type="dxa"/>
            <w:gridSpan w:val="3"/>
          </w:tcPr>
          <w:p w:rsidR="0032475E" w:rsidRPr="00D5076F" w:rsidRDefault="0032475E" w:rsidP="00D5076F">
            <w:pPr>
              <w:pStyle w:val="CVNormal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237" w:type="dxa"/>
            <w:gridSpan w:val="12"/>
            <w:vMerge w:val="restart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  <w:trHeight w:hRule="exact" w:val="714"/>
        </w:trPr>
        <w:tc>
          <w:tcPr>
            <w:tcW w:w="2124" w:type="dxa"/>
            <w:vMerge/>
          </w:tcPr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704" w:type="dxa"/>
            <w:gridSpan w:val="3"/>
            <w:tcBorders>
              <w:top w:val="single" w:sz="1" w:space="0" w:color="000000"/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Normal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7E7F192" wp14:editId="782B5A75">
                  <wp:extent cx="1051201" cy="29391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253" cy="30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12"/>
            <w:vMerge/>
          </w:tcPr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BB27FB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37069C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2587DADA" wp14:editId="67E39803">
                  <wp:extent cx="1164772" cy="881380"/>
                  <wp:effectExtent l="0" t="0" r="0" b="0"/>
                  <wp:docPr id="2" name="Picture 2" descr="Описание: logonew ¦¦¦-¦¬¦¬T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logonew ¦¦¦-¦¬¦¬T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902" cy="91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75E" w:rsidRPr="00D5076F" w:rsidRDefault="0032475E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Titl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D5076F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3CF9D898" wp14:editId="57F712D6">
                  <wp:simplePos x="0" y="0"/>
                  <wp:positionH relativeFrom="column">
                    <wp:posOffset>149587</wp:posOffset>
                  </wp:positionH>
                  <wp:positionV relativeFrom="paragraph">
                    <wp:posOffset>453</wp:posOffset>
                  </wp:positionV>
                  <wp:extent cx="750752" cy="1000982"/>
                  <wp:effectExtent l="0" t="0" r="0" b="8890"/>
                  <wp:wrapSquare wrapText="bothSides"/>
                  <wp:docPr id="1" name="Picture 1" descr="Описание: Foto_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Foto_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752" cy="100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Spacer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Spacer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1"/>
              <w:spacing w:before="0"/>
              <w:ind w:right="0"/>
              <w:jc w:val="center"/>
              <w:rPr>
                <w:rFonts w:ascii="Times New Roman" w:hAnsi="Times New Roman"/>
                <w:noProof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Cs w:val="24"/>
                <w:lang w:val="ro-RO"/>
              </w:rPr>
              <w:t>Informaţii personale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2-FirstLine"/>
              <w:spacing w:before="0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Nume / Prenume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Major-FirstLine"/>
              <w:spacing w:before="0"/>
              <w:ind w:right="0"/>
              <w:jc w:val="both"/>
              <w:rPr>
                <w:rFonts w:ascii="Times New Roman" w:hAnsi="Times New Roman"/>
                <w:b w:val="0"/>
                <w:noProof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b w:val="0"/>
                <w:noProof/>
                <w:szCs w:val="24"/>
                <w:lang w:val="ro-RO"/>
              </w:rPr>
              <w:t>Pantelimon VARZARI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Adresă(e)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Str. Gh. Asachi, 60, Chișinău, Republica Moldova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Telefon(oane)</w:t>
            </w:r>
          </w:p>
        </w:tc>
        <w:tc>
          <w:tcPr>
            <w:tcW w:w="4385" w:type="dxa"/>
            <w:gridSpan w:val="8"/>
          </w:tcPr>
          <w:p w:rsidR="0032475E" w:rsidRPr="00D5076F" w:rsidRDefault="00F63DA1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022.21.04.93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; 0.694.66986</w:t>
            </w:r>
          </w:p>
        </w:tc>
        <w:tc>
          <w:tcPr>
            <w:tcW w:w="1986" w:type="dxa"/>
            <w:gridSpan w:val="5"/>
          </w:tcPr>
          <w:p w:rsidR="0032475E" w:rsidRPr="00D5076F" w:rsidRDefault="0032475E" w:rsidP="00D5076F">
            <w:pPr>
              <w:pStyle w:val="CVHeading3"/>
              <w:ind w:left="0" w:right="0"/>
              <w:jc w:val="both"/>
              <w:rPr>
                <w:rFonts w:ascii="Times New Roman" w:hAnsi="Times New Roman"/>
                <w:strike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570" w:type="dxa"/>
            <w:gridSpan w:val="2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i/>
                <w:noProof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hyperlink r:id="rId10" w:history="1">
              <w:r w:rsidRPr="00D5076F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o-RO"/>
                </w:rPr>
                <w:t>pamonv_ri@mail.ru</w:t>
              </w:r>
            </w:hyperlink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, </w:t>
            </w:r>
            <w:hyperlink r:id="rId11" w:history="1">
              <w:r w:rsidRPr="00D5076F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ro-RO"/>
                </w:rPr>
                <w:t>pvarzari@yahoo.com</w:t>
              </w:r>
            </w:hyperlink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-FirstLine"/>
              <w:spacing w:before="0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Gradul ştiinţific</w:t>
            </w:r>
          </w:p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Titlul  ştiinţifico-didactic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doctor habilitat în științe politice;</w:t>
            </w:r>
          </w:p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doctor în filosofie</w:t>
            </w:r>
          </w:p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profesor cercetător;</w:t>
            </w:r>
          </w:p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conferențiar universitar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-FirstLine"/>
              <w:spacing w:before="0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-FirstLine"/>
              <w:spacing w:before="0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  <w:trHeight w:val="1066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1"/>
              <w:spacing w:before="0"/>
              <w:ind w:right="0"/>
              <w:jc w:val="center"/>
              <w:rPr>
                <w:rFonts w:ascii="Times New Roman" w:hAnsi="Times New Roman"/>
                <w:noProof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Cs w:val="24"/>
                <w:lang w:val="ro-RO"/>
              </w:rPr>
              <w:t>Locul de muncă vizat</w:t>
            </w:r>
          </w:p>
          <w:p w:rsidR="0032475E" w:rsidRPr="00D5076F" w:rsidRDefault="0032475E" w:rsidP="00D5076F">
            <w:pPr>
              <w:pStyle w:val="CVHeading1"/>
              <w:spacing w:before="0"/>
              <w:ind w:right="0"/>
              <w:jc w:val="both"/>
              <w:rPr>
                <w:rFonts w:ascii="Times New Roman" w:hAnsi="Times New Roman"/>
                <w:noProof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Heading1"/>
              <w:spacing w:before="0"/>
              <w:ind w:left="0" w:right="0"/>
              <w:jc w:val="both"/>
              <w:rPr>
                <w:rFonts w:ascii="Times New Roman" w:hAnsi="Times New Roman"/>
                <w:noProof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-FirstLine"/>
              <w:spacing w:before="0"/>
              <w:ind w:left="0" w:right="0" w:firstLine="113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- Academia de Științe a Moldovei, Institutul de Cercetări Juridice și Politice, cercetător științific principal (prin contract din 2015);</w:t>
            </w:r>
          </w:p>
          <w:p w:rsidR="0032475E" w:rsidRPr="00D5076F" w:rsidRDefault="0032475E" w:rsidP="00D5076F">
            <w:pPr>
              <w:pStyle w:val="CVNormal"/>
              <w:ind w:left="0" w:right="0" w:firstLine="113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- Universitatea de Studii Politice și Economice Europene „Constantin Stere”, Catedra Relații Internaționale și Științe Politice 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1"/>
              <w:spacing w:before="0"/>
              <w:ind w:right="0"/>
              <w:jc w:val="both"/>
              <w:rPr>
                <w:rFonts w:ascii="Times New Roman" w:hAnsi="Times New Roman"/>
                <w:noProof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-FirstLine"/>
              <w:spacing w:before="0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1"/>
              <w:spacing w:before="0"/>
              <w:ind w:right="0"/>
              <w:jc w:val="center"/>
              <w:rPr>
                <w:rFonts w:ascii="Times New Roman" w:hAnsi="Times New Roman"/>
                <w:noProof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Cs w:val="24"/>
                <w:lang w:val="ro-RO"/>
              </w:rPr>
              <w:t xml:space="preserve">Stagii 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- iulie 2014  – Universitatea de Studii Politice și Economice Europene „Constantin Stere” (</w:t>
            </w:r>
            <w:r w:rsidRPr="00D5076F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  <w:lang w:val="ro-RO" w:eastAsia="ro-RO"/>
              </w:rPr>
              <w:t xml:space="preserve">cursuri pentru studierea tablelor interactive </w:t>
            </w:r>
            <w:r w:rsidRPr="00D5076F">
              <w:rPr>
                <w:rFonts w:ascii="Times New Roman" w:eastAsia="Times New Roman" w:hAnsi="Times New Roman" w:cs="Times New Roman"/>
                <w:i/>
                <w:noProof/>
                <w:kern w:val="36"/>
                <w:sz w:val="24"/>
                <w:szCs w:val="24"/>
                <w:lang w:val="ro-RO" w:eastAsia="ro-RO"/>
              </w:rPr>
              <w:t>ёno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), Chișinău;</w:t>
            </w:r>
          </w:p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- octombrie 2012 – decembrie 2013 – Universitatea de Studii Politice și Economice Europene „Constantin Stere” (modulul psihopedagogic), Chișinău; </w:t>
            </w:r>
          </w:p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- noiembrie 2006 – Institutul de Cercetări Politice şi Etnonaţionale „I.F. Kuras” al Academiei Naţionale de Științe a Ucrainei, Kiev;</w:t>
            </w:r>
          </w:p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- martie 2004 – Centrul Educaţional „ProDidactica” (modulul psihopedagogic), Chişinău;</w:t>
            </w:r>
          </w:p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- aprilie – septembrie 1987 – Institutul de Filosofie al Academiei de Ştiinţe a Ucrainei, Kiev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Heading3"/>
              <w:ind w:righ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Experienţa profesională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2006 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prezent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AŞM, Institutul de Cercetări Juridice și Politice, şef-Secţie Științe Politice, cercetător științific principal (prin contract din 2015);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1999 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prezent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Universitatea de Studii Politice şi Economice Europene „Constantin Stere”, şef-Catedră, decan, conferenţiar și profesor universitar interimar;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1998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2006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USM, Facultatea de Relaţii Internaţionale, Ştiinţe Politice şi Administrative,      Catedra Ştiinţe Politice, lector superior şi conferenţiar universitar (cumul extern);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Heading3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  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1974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1999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"/>
              <w:ind w:left="4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AŞM, Secția de Filozofie și Drept, Institutul de Filozofie, Sociologie şi Drept, cercetător ştiinţific inferior, superior şi coordonator, şef-Secţie Filozofie Socială şi Politologie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Spacer"/>
              <w:ind w:righ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pStyle w:val="CVSpacer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Educaţie şi formare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Spacer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Spacer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1971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1974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Spacer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Universitatea de Stat din Rostov-pe-Don, Federația Rusă, Facultatea de filosofie;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F63DA1" w:rsidP="00F63DA1">
            <w:pPr>
              <w:pStyle w:val="CVSpacer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1969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1971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Universitatea de Stat din Chişinău, Facultatea de istorie (grupa academică de filosofie);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279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F63DA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1961</w:t>
            </w:r>
            <w:r w:rsidR="00F63DA1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–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1965      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-FirstLine"/>
              <w:spacing w:before="0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Şcoala Pedagogică din Soroca, Republica Moldova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Domeniile de activitate</w:t>
            </w:r>
            <w:r w:rsidRPr="00D5076F">
              <w:rPr>
                <w:rStyle w:val="FontStyle13"/>
                <w:b/>
                <w:noProof/>
                <w:sz w:val="24"/>
                <w:szCs w:val="24"/>
                <w:lang w:val="ro-RO" w:eastAsia="ro-RO"/>
              </w:rPr>
              <w:t xml:space="preserve"> </w:t>
            </w:r>
            <w:r w:rsidRPr="00D5076F">
              <w:rPr>
                <w:rStyle w:val="FontStyle13"/>
                <w:noProof/>
                <w:sz w:val="24"/>
                <w:szCs w:val="24"/>
                <w:lang w:val="ro-RO" w:eastAsia="ro-RO"/>
              </w:rPr>
              <w:t xml:space="preserve"> </w:t>
            </w: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ştiinţifică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ind w:left="5245" w:hanging="524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:rsidR="0032475E" w:rsidRPr="00D5076F" w:rsidRDefault="00D5076F" w:rsidP="00D5076F">
            <w:pPr>
              <w:spacing w:after="0" w:line="240" w:lineRule="auto"/>
              <w:ind w:left="5245" w:hanging="524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Politologie şi filosofie socială </w:t>
            </w:r>
          </w:p>
          <w:p w:rsidR="0032475E" w:rsidRPr="00D5076F" w:rsidRDefault="0032475E" w:rsidP="00D5076F">
            <w:pPr>
              <w:spacing w:after="0" w:line="240" w:lineRule="auto"/>
              <w:ind w:left="5245" w:hanging="524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ind w:left="5245" w:hanging="524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Disciplinele predate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Metodologia Cercetării, Sociologie Generală, Politică comparată: teorie și metodă, Elitologie, Istoria Gîndirii Politice și Sociologie Politică, ultimele trei cursuri fiind publicate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Problematica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cercetărilor ştiinţifice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Puterea politică şi elita politică; fenomenul birocraţiei şi tranziţia democratică; modernizarea politică și sfidările democrației contemporane; statul şi societatea civilă; doctrine politice şi ideologii politice; concepte și teorii social-politice etc.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773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t>Participări la foruri ştiinţifice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t xml:space="preserve">Participări, 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 ultimii 10 ani, la peste 50 de foruri științifice naționale și internaționale din țară și peste hotare cu rapoarte şi comunicări ce ţin de problematica intereselor științifice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11865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  <w:lastRenderedPageBreak/>
              <w:t>Lucrări ştiinţifice și metodico-didactice publicate</w:t>
            </w: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t>Publicații de referință:</w:t>
            </w: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  <w:t>Monografii</w:t>
            </w: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  <w:t>Manuale</w:t>
            </w: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  <w:t>Materiale didactice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Autor a peste 230 de lucrări ştiinţifice şi metodico-didactice în volum de circa 300 coli de autor, inclusiv 5 monografii, 4 manuale şi 8 broşuri metodico-didactice:</w:t>
            </w:r>
          </w:p>
          <w:p w:rsidR="0032475E" w:rsidRPr="00D5076F" w:rsidRDefault="0032475E" w:rsidP="00D5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• 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       - Caracterul şi conţinutul muncii lucrătorilor de la asociaţiile agroindustriale (cazul RSS Moldoveneşti). Chişinău, 1984; volumul 6,3 coli editoriale (în limba rusă);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</w:t>
            </w:r>
            <w:r w:rsidR="00D5076F" w:rsidRPr="00D5076F">
              <w:rPr>
                <w:noProof/>
                <w:sz w:val="24"/>
                <w:szCs w:val="24"/>
              </w:rPr>
              <w:t xml:space="preserve"> </w:t>
            </w:r>
            <w:r w:rsidRPr="00D5076F">
              <w:rPr>
                <w:noProof/>
                <w:sz w:val="24"/>
                <w:szCs w:val="24"/>
              </w:rPr>
              <w:t>- Munca şi problema activizării factorului uman în gospodăria sătească (cazul RSS Moldoveneşti). Chişinău, 1989; volumul 7,17 coli editoriale (în limba rusă);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 - Sfera muncii: problema optimizării potenţialului uman. Chişinău, 1995; volumul 7,75 coli editoriale;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- Elita politică din Republica Moldova: realităţi şi perspective. Chişinău, 2008, volumul 8,0 coli editoriale; 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bCs/>
                <w:noProof/>
                <w:sz w:val="24"/>
                <w:szCs w:val="24"/>
              </w:rPr>
              <w:t xml:space="preserve"> •     - Elita politică și birocrația în contextul realizării reformelor democratice (cazul Republicii Moldova). </w:t>
            </w:r>
            <w:r w:rsidRPr="00D5076F">
              <w:rPr>
                <w:bCs/>
                <w:i/>
                <w:noProof/>
                <w:sz w:val="24"/>
                <w:szCs w:val="24"/>
              </w:rPr>
              <w:t>Monografie</w:t>
            </w:r>
            <w:r w:rsidRPr="00D5076F">
              <w:rPr>
                <w:noProof/>
                <w:sz w:val="24"/>
                <w:szCs w:val="24"/>
              </w:rPr>
              <w:t>. Chișinău, 2013; volumul 18,83 coli editoriale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</w:t>
            </w:r>
          </w:p>
          <w:p w:rsidR="0032475E" w:rsidRPr="00D5076F" w:rsidRDefault="0032475E" w:rsidP="00D5076F">
            <w:pPr>
              <w:pStyle w:val="BodyTextIndent2"/>
              <w:numPr>
                <w:ilvl w:val="0"/>
                <w:numId w:val="1"/>
              </w:numPr>
              <w:ind w:left="0" w:hanging="121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  - Studiu în ştiinţa politicii. Chişinău, 2001; volumul 16,2 coli editoriale (în colaborare);</w:t>
            </w:r>
          </w:p>
          <w:p w:rsidR="0032475E" w:rsidRPr="00D5076F" w:rsidRDefault="0032475E" w:rsidP="00D5076F">
            <w:pPr>
              <w:pStyle w:val="BodyTextIndent2"/>
              <w:ind w:hanging="1133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>- Introducere în elitologie (</w:t>
            </w:r>
            <w:r w:rsidRPr="00D5076F">
              <w:rPr>
                <w:i/>
                <w:noProof/>
                <w:sz w:val="24"/>
                <w:szCs w:val="24"/>
              </w:rPr>
              <w:t>Studiu</w:t>
            </w:r>
            <w:r w:rsidRPr="00D5076F">
              <w:rPr>
                <w:noProof/>
                <w:sz w:val="24"/>
                <w:szCs w:val="24"/>
              </w:rPr>
              <w:t>). Chişinău, 2003; volumul 10,0 coli editoriale;</w:t>
            </w:r>
          </w:p>
          <w:p w:rsidR="0032475E" w:rsidRPr="00D5076F" w:rsidRDefault="00D5076F" w:rsidP="00D5076F">
            <w:pPr>
              <w:pStyle w:val="BodyTextIndent2"/>
              <w:ind w:left="0" w:hanging="426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-  </w:t>
            </w:r>
            <w:r w:rsidR="0032475E" w:rsidRPr="00D5076F">
              <w:rPr>
                <w:noProof/>
                <w:sz w:val="24"/>
                <w:szCs w:val="24"/>
              </w:rPr>
              <w:t xml:space="preserve"> Istoria gîndirii politice (</w:t>
            </w:r>
            <w:r w:rsidR="0032475E" w:rsidRPr="00D5076F">
              <w:rPr>
                <w:i/>
                <w:noProof/>
                <w:sz w:val="24"/>
                <w:szCs w:val="24"/>
              </w:rPr>
              <w:t>Note de curs</w:t>
            </w:r>
            <w:r w:rsidR="0032475E" w:rsidRPr="00D5076F">
              <w:rPr>
                <w:noProof/>
                <w:sz w:val="24"/>
                <w:szCs w:val="24"/>
              </w:rPr>
              <w:t xml:space="preserve">). Chişinău, 2011; volumul 18,0 coli editoriale;  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 - Sociologie politică (</w:t>
            </w:r>
            <w:r w:rsidRPr="00D5076F">
              <w:rPr>
                <w:i/>
                <w:noProof/>
                <w:sz w:val="24"/>
                <w:szCs w:val="24"/>
              </w:rPr>
              <w:t>Note de curs</w:t>
            </w:r>
            <w:r w:rsidRPr="00D5076F">
              <w:rPr>
                <w:noProof/>
                <w:sz w:val="24"/>
                <w:szCs w:val="24"/>
              </w:rPr>
              <w:t xml:space="preserve">). Chişinău, 2015; volumul 18,7 coli editoriale </w:t>
            </w:r>
          </w:p>
          <w:p w:rsidR="0032475E" w:rsidRPr="00D5076F" w:rsidRDefault="0032475E" w:rsidP="00D5076F">
            <w:pPr>
              <w:pStyle w:val="BodyTextIndent2"/>
              <w:ind w:left="0" w:firstLine="143"/>
              <w:rPr>
                <w:noProof/>
                <w:sz w:val="24"/>
                <w:szCs w:val="24"/>
              </w:rPr>
            </w:pPr>
          </w:p>
          <w:p w:rsidR="0032475E" w:rsidRPr="00D5076F" w:rsidRDefault="0032475E" w:rsidP="00D5076F">
            <w:pPr>
              <w:pStyle w:val="BodyTextIndent2"/>
              <w:ind w:left="0" w:firstLine="143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>- Educaţia prin muncă a tineretului în condiţiile intensificării producţiei (</w:t>
            </w:r>
            <w:r w:rsidRPr="00D5076F">
              <w:rPr>
                <w:i/>
                <w:noProof/>
                <w:sz w:val="24"/>
                <w:szCs w:val="24"/>
              </w:rPr>
              <w:t>Recomandări metodice</w:t>
            </w:r>
            <w:r w:rsidRPr="00D5076F">
              <w:rPr>
                <w:noProof/>
                <w:sz w:val="24"/>
                <w:szCs w:val="24"/>
              </w:rPr>
              <w:t>). Chişinău, 1988; volumul 1,0 coli editoriale (în colaborare);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</w:t>
            </w:r>
            <w:r w:rsidR="00D5076F" w:rsidRPr="00D5076F">
              <w:rPr>
                <w:noProof/>
                <w:sz w:val="24"/>
                <w:szCs w:val="24"/>
              </w:rPr>
              <w:t xml:space="preserve"> </w:t>
            </w:r>
            <w:r w:rsidRPr="00D5076F">
              <w:rPr>
                <w:noProof/>
                <w:sz w:val="24"/>
                <w:szCs w:val="24"/>
              </w:rPr>
              <w:t>- Dirijarea pedagogică a interacţiunii dintre şcoală şi familie în procesul educaţiei prin muncă a elevilor (</w:t>
            </w:r>
            <w:r w:rsidRPr="00D5076F">
              <w:rPr>
                <w:i/>
                <w:noProof/>
                <w:sz w:val="24"/>
                <w:szCs w:val="24"/>
              </w:rPr>
              <w:t>Recomandări metodice pentru conducătorii şcolilor medii de cultură generală</w:t>
            </w:r>
            <w:r w:rsidRPr="00D5076F">
              <w:rPr>
                <w:noProof/>
                <w:sz w:val="24"/>
                <w:szCs w:val="24"/>
              </w:rPr>
              <w:t xml:space="preserve">). Chişinău, 1988; volumul 3,25 coli editoriale (în colaborare; în limba rusă); 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- Cum să scriem o teză de an şi o teză de licenţă (</w:t>
            </w:r>
            <w:r w:rsidRPr="00D5076F">
              <w:rPr>
                <w:i/>
                <w:noProof/>
                <w:sz w:val="24"/>
                <w:szCs w:val="24"/>
              </w:rPr>
              <w:t>Îndrumări metodice</w:t>
            </w:r>
            <w:r w:rsidRPr="00D5076F">
              <w:rPr>
                <w:noProof/>
                <w:sz w:val="24"/>
                <w:szCs w:val="24"/>
              </w:rPr>
              <w:t>). Chişinău, 2000; 2001 şi 2005 (Ed-a a 2-a); volumul 2,07 coli editoriale (în colaborare; în limbile română şi rusă);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- Elita politică şi societatea (</w:t>
            </w:r>
            <w:r w:rsidRPr="00D5076F">
              <w:rPr>
                <w:i/>
                <w:noProof/>
                <w:sz w:val="24"/>
                <w:szCs w:val="24"/>
              </w:rPr>
              <w:t>Material didactic</w:t>
            </w:r>
            <w:r w:rsidRPr="00D5076F">
              <w:rPr>
                <w:noProof/>
                <w:sz w:val="24"/>
                <w:szCs w:val="24"/>
              </w:rPr>
              <w:t>). Chişinău, 2000; volumul 2,5 coli editoriale (în colaborare);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- Programa analitică la cursul de Elitologie. Chişinău, 2001; volumul 0,72 coli editoriale;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</w:t>
            </w:r>
            <w:r w:rsidR="00D5076F" w:rsidRPr="00D5076F">
              <w:rPr>
                <w:noProof/>
                <w:sz w:val="24"/>
                <w:szCs w:val="24"/>
              </w:rPr>
              <w:t xml:space="preserve"> </w:t>
            </w:r>
            <w:r w:rsidRPr="00D5076F">
              <w:rPr>
                <w:noProof/>
                <w:sz w:val="24"/>
                <w:szCs w:val="24"/>
              </w:rPr>
              <w:t xml:space="preserve">- Programa analitică la cursul Istoria Gîndirii Politice. Chişinău, 2003; volumul 2,0 coli editoriale (în colaborare); 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 - Elitologie (</w:t>
            </w:r>
            <w:r w:rsidRPr="00D5076F">
              <w:rPr>
                <w:i/>
                <w:noProof/>
                <w:sz w:val="24"/>
                <w:szCs w:val="24"/>
              </w:rPr>
              <w:t>ghid metodic</w:t>
            </w:r>
            <w:r w:rsidRPr="00D5076F">
              <w:rPr>
                <w:noProof/>
                <w:sz w:val="24"/>
                <w:szCs w:val="24"/>
              </w:rPr>
              <w:t>). Chişinău, 2003; volumul 3,5 coli editoriale;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  <w:r w:rsidRPr="00D5076F">
              <w:rPr>
                <w:noProof/>
                <w:sz w:val="24"/>
                <w:szCs w:val="24"/>
              </w:rPr>
              <w:t xml:space="preserve"> •      - Sociologia politică (</w:t>
            </w:r>
            <w:r w:rsidRPr="00D5076F">
              <w:rPr>
                <w:i/>
                <w:noProof/>
                <w:sz w:val="24"/>
                <w:szCs w:val="24"/>
              </w:rPr>
              <w:t>ghid metodic</w:t>
            </w:r>
            <w:r w:rsidRPr="00D5076F">
              <w:rPr>
                <w:noProof/>
                <w:sz w:val="24"/>
                <w:szCs w:val="24"/>
              </w:rPr>
              <w:t>). Chişinău, 2003; volumul 3,7 coli editoriale</w:t>
            </w:r>
          </w:p>
          <w:p w:rsidR="0032475E" w:rsidRPr="00D5076F" w:rsidRDefault="0032475E" w:rsidP="00D5076F">
            <w:pPr>
              <w:pStyle w:val="BodyTextIndent2"/>
              <w:ind w:left="0"/>
              <w:rPr>
                <w:noProof/>
                <w:sz w:val="24"/>
                <w:szCs w:val="24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  <w:trHeight w:val="345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  <w:trHeight w:val="345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lastRenderedPageBreak/>
              <w:t>Tema tezei de doctor habilitat în științe politice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„Elita politică și birocrația în contextul realizării reformelor democratice (cazul Republicii Moldova)”, Academia de Științe a Moldovei, 28 martie 2014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345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Semnificația teoretică a cercetărilor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Rezultatele principial noi obținute în urma realizării investigațiilor au contribuit la crearea în Republica Moldova a unei direcții științifice noi în domeniul științelor politice – </w:t>
            </w:r>
            <w:r w:rsidRPr="00D5076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studii elitologice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. S-a argumentat, de asemenea, că cercetările elitologice trebuie tratate nu numai ca „discurs epistemic” despre studiul elitelor, perceput ca o componentă a problematicii politologice contemporane, ci şi ca o disciplină de sine stătătoare în sistemul ştiințelor politice, anume – </w:t>
            </w:r>
            <w:r w:rsidRPr="00D5076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Elitologia 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Pr="00D5076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Teoria elitelor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), curs normativ iniţiat şi predat de autor în unele instituţii de învăţămînt superior. Prin lucrările publicate, s-a introdus în limbajul politologic național termenul de </w:t>
            </w:r>
            <w:r w:rsidRPr="00D5076F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dificultate aporetică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care oferă posibilitatea de a examina într-o manieră nouă problematica clivajelor sociopolitice, provocărilor la adresa democrației și blocajelor instituționale în contextul democratizării și europenizării Republicii Moldova.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345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Conducerea tezelor de doctorat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Conducător ştiinţific la 3 doctoranzi; pînă în prezent 3 doctoranzi au susţinut teze de doctor în științe politice la specialitatea 561.01 – Teoria, metodologia și istoria politologiei; instituţii şi procese politice</w:t>
            </w:r>
          </w:p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t>Participări în proiecte ştiinţifice naţionale şi internaţionale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t xml:space="preserve"> În</w:t>
            </w: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total, executor la realizarea a 12 proiecte instituționale de cercetare începînd cu anul 1974, inclusiv director la 2 proiecte instituționale de stat și 1 proiect internațional (bilateral) de cercetare:</w:t>
            </w:r>
          </w:p>
          <w:p w:rsidR="0032475E" w:rsidRPr="00D5076F" w:rsidRDefault="00D5076F" w:rsidP="00D507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</w:t>
            </w:r>
            <w:r w:rsidR="0032475E" w:rsidRPr="00D5076F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ro-RO"/>
              </w:rPr>
              <w:t>„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Interacţiunea dintre stat şi societatea civilă în Republica Moldova în contextul aprofundării reformelor democratice”</w:t>
            </w:r>
            <w:r w:rsidR="0032475E" w:rsidRPr="00D5076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ro-RO"/>
              </w:rPr>
              <w:t xml:space="preserve"> (2011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ro-RO"/>
              </w:rPr>
              <w:t>2014);</w:t>
            </w:r>
          </w:p>
          <w:p w:rsidR="0032475E" w:rsidRPr="00D5076F" w:rsidRDefault="00D5076F" w:rsidP="00D507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- „Funcţionalitatea şi impactul organizaţiilor neguvernamentale din Ucraina şi Republica Moldova asupra factorului decizional” (2010–2011) în cadrul concursului comun al cercetărilor ştiinţifice fundamentale „Ministerul Educaţiei şi Ştiinţei al Ucrainei – Academia de Ştiinţe a Moldovei – 2009–2010”;</w:t>
            </w:r>
          </w:p>
          <w:p w:rsidR="0032475E" w:rsidRPr="00D5076F" w:rsidRDefault="00D5076F" w:rsidP="00D5076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</w:t>
            </w:r>
            <w:r w:rsidR="0032475E" w:rsidRPr="00D5076F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ro-RO"/>
              </w:rPr>
              <w:t>„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Resursele, mecanismele şi efectele realizării puterii politice în Republica Moldova”</w:t>
            </w:r>
            <w:r w:rsidR="0032475E" w:rsidRPr="00D5076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ro-RO"/>
              </w:rPr>
              <w:t xml:space="preserve"> (2009</w:t>
            </w:r>
            <w:r w:rsidR="0032475E"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–</w:t>
            </w:r>
            <w:r w:rsidR="0032475E" w:rsidRPr="00D5076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ro-RO"/>
              </w:rPr>
              <w:t>2010)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1990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Style w:val="FontStyle13"/>
                <w:b/>
                <w:noProof/>
                <w:sz w:val="24"/>
                <w:szCs w:val="24"/>
                <w:lang w:val="ro-RO" w:eastAsia="ro-RO"/>
              </w:rPr>
            </w:pPr>
            <w:r w:rsidRPr="00D5076F">
              <w:rPr>
                <w:rStyle w:val="FontStyle13"/>
                <w:b/>
                <w:noProof/>
                <w:sz w:val="24"/>
                <w:szCs w:val="24"/>
                <w:lang w:val="ro-RO" w:eastAsia="ro-RO"/>
              </w:rPr>
              <w:lastRenderedPageBreak/>
              <w:t>Participări în activităţi de elaborarea proiectelor de legi, de expertiză,  consultanţă, activităţi editoriale</w:t>
            </w:r>
          </w:p>
          <w:p w:rsidR="0032475E" w:rsidRPr="00D5076F" w:rsidRDefault="0032475E" w:rsidP="00D5076F">
            <w:pPr>
              <w:spacing w:line="240" w:lineRule="auto"/>
              <w:jc w:val="both"/>
              <w:rPr>
                <w:rStyle w:val="FontStyle13"/>
                <w:strike/>
                <w:noProof/>
                <w:sz w:val="24"/>
                <w:szCs w:val="24"/>
                <w:lang w:val="ro-RO" w:eastAsia="ro-RO"/>
              </w:rPr>
            </w:pPr>
          </w:p>
          <w:p w:rsidR="0032475E" w:rsidRPr="00D5076F" w:rsidRDefault="0032475E" w:rsidP="00D5076F">
            <w:pPr>
              <w:pStyle w:val="CVSpacer"/>
              <w:ind w:left="0" w:righ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Spacer"/>
              <w:ind w:left="4" w:right="0" w:firstLine="109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• Vicepreședinte al Seminarului Ştiinţific de  Profil în cadrul  Institutului de Cercetări Juridice și Politice al AȘM la specialitatea 561.01  – Teoria, metodologia și istoria politologiei; instituții și procese politice;</w:t>
            </w:r>
          </w:p>
          <w:p w:rsidR="0032475E" w:rsidRPr="00D5076F" w:rsidRDefault="0032475E" w:rsidP="00D5076F">
            <w:pPr>
              <w:pStyle w:val="CVSpacer"/>
              <w:ind w:left="4" w:right="0" w:firstLine="109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• Membrul al Seminarului Ştiinţific de Profil în cadrul Universității de Stat din Moldova la specialitatea 561.01 – Teoria, metodologia și istoria politologiei; instituții și procese politice;</w:t>
            </w:r>
          </w:p>
          <w:p w:rsidR="0032475E" w:rsidRPr="00D5076F" w:rsidRDefault="0032475E" w:rsidP="00D5076F">
            <w:pPr>
              <w:pStyle w:val="CVSpacer"/>
              <w:ind w:left="4" w:right="0" w:firstLine="109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•</w:t>
            </w:r>
            <w:r w:rsidRPr="00D5076F">
              <w:rPr>
                <w:rFonts w:ascii="Times New Roman" w:hAnsi="Times New Roman"/>
                <w:noProof/>
                <w:spacing w:val="1"/>
                <w:sz w:val="24"/>
                <w:szCs w:val="24"/>
                <w:lang w:val="ro-RO"/>
              </w:rPr>
              <w:t xml:space="preserve"> Membru al Comisiei examenului de doctorat și al Comisiei 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examenului de admitere în doctorantură la specialitatea 561.01 – Teoria, metodologia şi istoria politologiei; instituţii şi procese politice;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Membru al Consiliului Ştiinţific Specializat la specialitatea 561.01  – Teoria, metodologia și istoria politologiei; instituții și procese politice;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Referent oficial  pentru susţinerea tezelor de doctor la specialitatea 561.01  – Teoria, metodologia și istoria politologiei; instituții și procese politice;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Conducător ştiinţific la tezele de doctorat, masterat și licenţă;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</w:t>
            </w:r>
            <w:r w:rsidRPr="00D5076F">
              <w:rPr>
                <w:noProof/>
                <w:spacing w:val="1"/>
              </w:rPr>
              <w:t xml:space="preserve">Membru al colegiului de redacţie al „Revistei de Filosofie, Sociologie şi Știinţe Politice” al ICJP al AŞM şi al „Revistei Militate. Studii de securitate şi apărare. Publicaţie ştiinţifică” a </w:t>
            </w:r>
            <w:r w:rsidRPr="00D5076F">
              <w:rPr>
                <w:noProof/>
              </w:rPr>
              <w:t>Academiei Militare a Forţelor Armate „Alexandru cel Bun”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Membru în instituţii şi organizaţii naţionale şi internaţionale</w:t>
            </w:r>
          </w:p>
          <w:p w:rsidR="0032475E" w:rsidRPr="00D5076F" w:rsidRDefault="0032475E" w:rsidP="00D5076F">
            <w:pPr>
              <w:spacing w:after="0" w:line="240" w:lineRule="auto"/>
              <w:jc w:val="center"/>
              <w:rPr>
                <w:rStyle w:val="FontStyle13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Spacer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• Membru al Comisiei de evaluare a CNAA al Republicii Moldova;</w:t>
            </w:r>
          </w:p>
          <w:p w:rsidR="0032475E" w:rsidRPr="00D5076F" w:rsidRDefault="00D5076F" w:rsidP="00D5076F">
            <w:pPr>
              <w:pStyle w:val="CVSpacer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 </w:t>
            </w:r>
            <w:r w:rsidR="0032475E"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• Președinte al Comisiei de licență la specialitățile „Politologie”, „Administrație Publică” și „Relații Internaționale”</w:t>
            </w:r>
          </w:p>
          <w:p w:rsidR="0032475E" w:rsidRPr="00D5076F" w:rsidRDefault="0032475E" w:rsidP="00D5076F">
            <w:pPr>
              <w:pStyle w:val="CVSpacer"/>
              <w:ind w:left="0" w:right="0" w:firstLine="113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  <w:trHeight w:val="1061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>Premii, menţiuni, distincţii şi titluri onorifice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• Laureat al concursului academiilor de ştiinţe a Ucrainei, Belarusei şi Moldovei pentru lucrări ştiinţifice de valoare (2010);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Diploma Ministerului Educaţiei (2012);</w:t>
            </w:r>
          </w:p>
          <w:p w:rsidR="0032475E" w:rsidRPr="00D5076F" w:rsidRDefault="0032475E" w:rsidP="00D5076F">
            <w:pPr>
              <w:pStyle w:val="ListParagraph"/>
              <w:ind w:left="0"/>
              <w:jc w:val="both"/>
              <w:rPr>
                <w:noProof/>
              </w:rPr>
            </w:pPr>
            <w:r w:rsidRPr="00D5076F">
              <w:rPr>
                <w:noProof/>
              </w:rPr>
              <w:t xml:space="preserve">  • Certificat de Apreciere al CID NATO din Republica Moldova (2012)</w:t>
            </w:r>
          </w:p>
        </w:tc>
      </w:tr>
      <w:tr w:rsidR="0032475E" w:rsidRPr="00D5076F" w:rsidTr="00D5076F">
        <w:trPr>
          <w:gridAfter w:val="1"/>
          <w:wAfter w:w="20" w:type="dxa"/>
          <w:cantSplit/>
          <w:trHeight w:val="94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Spacer"/>
              <w:ind w:right="0"/>
              <w:jc w:val="right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2-FirstLine"/>
              <w:spacing w:before="0"/>
              <w:ind w:righ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  <w:t>Limba(i) străină(e) cunoscută(e)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Normal-FirstLine"/>
              <w:spacing w:before="0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Level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Medium-FirstLine"/>
              <w:spacing w:before="0"/>
              <w:ind w:right="0"/>
              <w:jc w:val="both"/>
              <w:rPr>
                <w:rFonts w:ascii="Times New Roman" w:hAnsi="Times New Roman"/>
                <w:b w:val="0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Language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Nivel european (*)</w:t>
            </w:r>
          </w:p>
        </w:tc>
        <w:tc>
          <w:tcPr>
            <w:tcW w:w="7941" w:type="dxa"/>
            <w:gridSpan w:val="15"/>
          </w:tcPr>
          <w:p w:rsidR="0032475E" w:rsidRPr="00D5076F" w:rsidRDefault="0032475E" w:rsidP="00D5076F">
            <w:pPr>
              <w:pStyle w:val="CVMedium-FirstLine"/>
              <w:spacing w:before="0"/>
              <w:ind w:left="0"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Language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" w:type="dxa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31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1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Înţelegere</w:t>
            </w:r>
          </w:p>
        </w:tc>
        <w:tc>
          <w:tcPr>
            <w:tcW w:w="297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1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Vorbire</w:t>
            </w:r>
          </w:p>
        </w:tc>
        <w:tc>
          <w:tcPr>
            <w:tcW w:w="170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475E" w:rsidRPr="00D5076F" w:rsidRDefault="0032475E" w:rsidP="00D5076F">
            <w:pPr>
              <w:pStyle w:val="LevelAssessment-Heading1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Scriere</w:t>
            </w:r>
          </w:p>
        </w:tc>
      </w:tr>
      <w:tr w:rsidR="0032475E" w:rsidRPr="00D5076F" w:rsidTr="00D5076F">
        <w:trPr>
          <w:gridAfter w:val="1"/>
          <w:wAfter w:w="20" w:type="dxa"/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38" w:type="dxa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56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2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2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55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2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41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2475E" w:rsidRPr="00D5076F" w:rsidRDefault="0032475E" w:rsidP="00D5076F">
            <w:pPr>
              <w:pStyle w:val="LevelAssessment-Heading2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170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2475E" w:rsidRPr="00D5076F" w:rsidRDefault="0032475E" w:rsidP="00D5076F">
            <w:pPr>
              <w:pStyle w:val="LevelAssessment-Heading2"/>
              <w:ind w:righ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Exprimare scrisă</w:t>
            </w:r>
          </w:p>
        </w:tc>
      </w:tr>
      <w:tr w:rsidR="0032475E" w:rsidRPr="00D5076F" w:rsidTr="00D5076F">
        <w:trPr>
          <w:cantSplit/>
          <w:trHeight w:val="1032"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Language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Limba rusă</w:t>
            </w:r>
          </w:p>
        </w:tc>
        <w:tc>
          <w:tcPr>
            <w:tcW w:w="138" w:type="dxa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20" w:type="dxa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ind w:left="0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experimentat</w:t>
            </w:r>
          </w:p>
        </w:tc>
        <w:tc>
          <w:tcPr>
            <w:tcW w:w="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gridSpan w:val="2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experimentat</w:t>
            </w:r>
          </w:p>
        </w:tc>
        <w:tc>
          <w:tcPr>
            <w:tcW w:w="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3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experimentat</w:t>
            </w:r>
          </w:p>
        </w:tc>
        <w:tc>
          <w:tcPr>
            <w:tcW w:w="14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C2</w:t>
            </w:r>
          </w:p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experimentat</w:t>
            </w:r>
          </w:p>
        </w:tc>
        <w:tc>
          <w:tcPr>
            <w:tcW w:w="143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experimentat</w:t>
            </w:r>
          </w:p>
        </w:tc>
      </w:tr>
      <w:tr w:rsidR="0032475E" w:rsidRPr="00D5076F" w:rsidTr="00D5076F">
        <w:trPr>
          <w:cantSplit/>
        </w:trPr>
        <w:tc>
          <w:tcPr>
            <w:tcW w:w="2124" w:type="dxa"/>
            <w:tcBorders>
              <w:right w:val="single" w:sz="1" w:space="0" w:color="000000"/>
            </w:tcBorders>
          </w:tcPr>
          <w:p w:rsidR="0032475E" w:rsidRPr="00D5076F" w:rsidRDefault="0032475E" w:rsidP="00D5076F">
            <w:pPr>
              <w:pStyle w:val="CVHeadingLanguage"/>
              <w:ind w:right="0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Limba franceză</w:t>
            </w:r>
          </w:p>
        </w:tc>
        <w:tc>
          <w:tcPr>
            <w:tcW w:w="138" w:type="dxa"/>
          </w:tcPr>
          <w:p w:rsidR="0032475E" w:rsidRPr="00D5076F" w:rsidRDefault="0032475E" w:rsidP="00D5076F">
            <w:pPr>
              <w:pStyle w:val="CVNormal"/>
              <w:ind w:right="0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20" w:type="dxa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  <w:t>B2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i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  <w:t>ndependent</w:t>
            </w:r>
          </w:p>
        </w:tc>
        <w:tc>
          <w:tcPr>
            <w:tcW w:w="1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gridSpan w:val="2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  <w:t>B2</w:t>
            </w:r>
          </w:p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Utilizator i</w:t>
            </w:r>
            <w:r w:rsidRPr="00D5076F">
              <w:rPr>
                <w:rFonts w:ascii="Times New Roman" w:hAnsi="Times New Roman"/>
                <w:noProof/>
                <w:sz w:val="24"/>
                <w:szCs w:val="24"/>
                <w:lang w:val="ro-RO" w:eastAsia="ru-RU"/>
              </w:rPr>
              <w:t>ndependent</w:t>
            </w:r>
          </w:p>
        </w:tc>
        <w:tc>
          <w:tcPr>
            <w:tcW w:w="1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  <w:gridSpan w:val="3"/>
            <w:tcBorders>
              <w:bottom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43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Cod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2475E" w:rsidRPr="00D5076F" w:rsidRDefault="0032475E" w:rsidP="00D5076F">
            <w:pPr>
              <w:pStyle w:val="LevelAssessment-Description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</w:p>
        </w:tc>
      </w:tr>
    </w:tbl>
    <w:p w:rsidR="00440AC6" w:rsidRDefault="00440AC6" w:rsidP="00D5076F"/>
    <w:sectPr w:rsidR="00440AC6" w:rsidSect="00D5076F">
      <w:footerReference w:type="default" r:id="rId12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C07" w:rsidRDefault="00D64C07" w:rsidP="0032475E">
      <w:pPr>
        <w:spacing w:after="0" w:line="240" w:lineRule="auto"/>
      </w:pPr>
      <w:r>
        <w:separator/>
      </w:r>
    </w:p>
  </w:endnote>
  <w:endnote w:type="continuationSeparator" w:id="0">
    <w:p w:rsidR="00D64C07" w:rsidRDefault="00D64C07" w:rsidP="0032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234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75E" w:rsidRDefault="003247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7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75E" w:rsidRDefault="00324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C07" w:rsidRDefault="00D64C07" w:rsidP="0032475E">
      <w:pPr>
        <w:spacing w:after="0" w:line="240" w:lineRule="auto"/>
      </w:pPr>
      <w:r>
        <w:separator/>
      </w:r>
    </w:p>
  </w:footnote>
  <w:footnote w:type="continuationSeparator" w:id="0">
    <w:p w:rsidR="00D64C07" w:rsidRDefault="00D64C07" w:rsidP="0032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C5C19"/>
    <w:multiLevelType w:val="hybridMultilevel"/>
    <w:tmpl w:val="73B2DCF6"/>
    <w:lvl w:ilvl="0" w:tplc="2A0441B6">
      <w:start w:val="1998"/>
      <w:numFmt w:val="bullet"/>
      <w:lvlText w:val="-"/>
      <w:lvlJc w:val="left"/>
      <w:pPr>
        <w:ind w:left="23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B3"/>
    <w:rsid w:val="0032475E"/>
    <w:rsid w:val="00440AC6"/>
    <w:rsid w:val="009A10B3"/>
    <w:rsid w:val="00BB27FB"/>
    <w:rsid w:val="00D5076F"/>
    <w:rsid w:val="00D64C07"/>
    <w:rsid w:val="00F104F3"/>
    <w:rsid w:val="00F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BDB03-483A-4A67-9A8C-1F76E243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75E"/>
  </w:style>
  <w:style w:type="paragraph" w:styleId="Footer">
    <w:name w:val="footer"/>
    <w:basedOn w:val="Normal"/>
    <w:link w:val="FooterChar"/>
    <w:uiPriority w:val="99"/>
    <w:unhideWhenUsed/>
    <w:rsid w:val="0032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75E"/>
  </w:style>
  <w:style w:type="character" w:styleId="Hyperlink">
    <w:name w:val="Hyperlink"/>
    <w:basedOn w:val="DefaultParagraphFont"/>
    <w:unhideWhenUsed/>
    <w:rsid w:val="003247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2">
    <w:name w:val="Body Text Indent 2"/>
    <w:basedOn w:val="Normal"/>
    <w:link w:val="BodyTextIndent2Char"/>
    <w:rsid w:val="0032475E"/>
    <w:pPr>
      <w:spacing w:after="0" w:line="240" w:lineRule="auto"/>
      <w:ind w:left="1276" w:hanging="421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32475E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CVTitle">
    <w:name w:val="CV Title"/>
    <w:basedOn w:val="Normal"/>
    <w:rsid w:val="0032475E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32475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32475E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32475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2475E"/>
    <w:pPr>
      <w:spacing w:before="74"/>
    </w:pPr>
  </w:style>
  <w:style w:type="paragraph" w:customStyle="1" w:styleId="CVHeadingLanguage">
    <w:name w:val="CV Heading Language"/>
    <w:basedOn w:val="Normal"/>
    <w:next w:val="LevelAssessment-Code"/>
    <w:rsid w:val="0032475E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LevelAssessment-Code">
    <w:name w:val="Level Assessment - Code"/>
    <w:basedOn w:val="Normal"/>
    <w:next w:val="LevelAssessment-Description"/>
    <w:rsid w:val="0032475E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2475E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32475E"/>
    <w:rPr>
      <w:i/>
    </w:rPr>
  </w:style>
  <w:style w:type="paragraph" w:customStyle="1" w:styleId="LevelAssessment-Heading1">
    <w:name w:val="Level Assessment - Heading 1"/>
    <w:basedOn w:val="LevelAssessment-Code"/>
    <w:rsid w:val="0032475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2475E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Major-FirstLine">
    <w:name w:val="CV Major - First Line"/>
    <w:basedOn w:val="Normal"/>
    <w:next w:val="Normal"/>
    <w:rsid w:val="0032475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32475E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32475E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32475E"/>
    <w:rPr>
      <w:sz w:val="4"/>
    </w:rPr>
  </w:style>
  <w:style w:type="paragraph" w:customStyle="1" w:styleId="CVNormal-FirstLine">
    <w:name w:val="CV Normal - First Line"/>
    <w:basedOn w:val="CVNormal"/>
    <w:next w:val="CVNormal"/>
    <w:rsid w:val="0032475E"/>
    <w:pPr>
      <w:spacing w:before="74"/>
    </w:pPr>
  </w:style>
  <w:style w:type="character" w:customStyle="1" w:styleId="FontStyle13">
    <w:name w:val="Font Style13"/>
    <w:rsid w:val="0032475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arzari@yaho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monv_ri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IIESP</dc:creator>
  <cp:keywords/>
  <dc:description/>
  <cp:lastModifiedBy>IIESP</cp:lastModifiedBy>
  <cp:revision>4</cp:revision>
  <dcterms:created xsi:type="dcterms:W3CDTF">2016-03-11T07:35:00Z</dcterms:created>
  <dcterms:modified xsi:type="dcterms:W3CDTF">2016-03-11T08:00:00Z</dcterms:modified>
</cp:coreProperties>
</file>